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CBE" w:rsidRDefault="000B1638" w:rsidP="00986CBE">
      <w:pPr>
        <w:pStyle w:val="Szvegtrzs"/>
        <w:spacing w:before="240" w:after="120" w:line="240" w:lineRule="auto"/>
        <w:jc w:val="center"/>
        <w:rPr>
          <w:b/>
          <w:bCs/>
        </w:rPr>
      </w:pPr>
      <w:r>
        <w:rPr>
          <w:b/>
          <w:bCs/>
        </w:rPr>
        <w:t>Budapest Főváros VII. Kerület Erzsébetváros Önkormányzat Képviselő-testületének .</w:t>
      </w:r>
    </w:p>
    <w:p w:rsidR="00DF703B" w:rsidRDefault="000B1638" w:rsidP="00986CBE">
      <w:pPr>
        <w:pStyle w:val="Szvegtrzs"/>
        <w:spacing w:before="120" w:after="120" w:line="240" w:lineRule="auto"/>
        <w:jc w:val="center"/>
        <w:rPr>
          <w:b/>
          <w:bCs/>
        </w:rPr>
      </w:pPr>
      <w:r>
        <w:rPr>
          <w:b/>
          <w:bCs/>
        </w:rPr>
        <w:t>../</w:t>
      </w:r>
      <w:r w:rsidR="00986CBE">
        <w:rPr>
          <w:b/>
          <w:bCs/>
        </w:rPr>
        <w:t xml:space="preserve">2024. </w:t>
      </w:r>
      <w:r>
        <w:rPr>
          <w:b/>
          <w:bCs/>
        </w:rPr>
        <w:t>(</w:t>
      </w:r>
      <w:r w:rsidR="00986CBE">
        <w:rPr>
          <w:b/>
          <w:bCs/>
        </w:rPr>
        <w:t>…….</w:t>
      </w:r>
      <w:r>
        <w:rPr>
          <w:b/>
          <w:bCs/>
        </w:rPr>
        <w:t>..) önkormányzati rendelete</w:t>
      </w:r>
    </w:p>
    <w:p w:rsidR="00DF703B" w:rsidRDefault="000B1638" w:rsidP="00986CBE">
      <w:pPr>
        <w:pStyle w:val="Szvegtrzs"/>
        <w:spacing w:before="120" w:after="480" w:line="240" w:lineRule="auto"/>
        <w:jc w:val="center"/>
        <w:rPr>
          <w:b/>
          <w:bCs/>
        </w:rPr>
      </w:pPr>
      <w:r>
        <w:rPr>
          <w:b/>
          <w:bCs/>
        </w:rPr>
        <w:t>a helyi önkormányzati képviselők tiszteletdíjáról, természetbeni juttatásáról és költségtérítéséről szóló 20/2014. (X.28.) önkormányzati</w:t>
      </w:r>
      <w:r>
        <w:rPr>
          <w:b/>
          <w:bCs/>
        </w:rPr>
        <w:t xml:space="preserve"> rendelet módosításáról</w:t>
      </w:r>
    </w:p>
    <w:p w:rsidR="00DF703B" w:rsidRDefault="000B1638">
      <w:pPr>
        <w:pStyle w:val="Szvegtrzs"/>
        <w:spacing w:before="220" w:after="0" w:line="240" w:lineRule="auto"/>
        <w:jc w:val="both"/>
      </w:pPr>
      <w:r>
        <w:t>Budapest Főváros VII. kerület Erzsébetváros Önkormányzatának Képviselő-testülete az Alaptörvény 32. cikk (1) bekezdés a) pontjában</w:t>
      </w:r>
      <w:r w:rsidR="00986CBE">
        <w:t xml:space="preserve"> megállapított hatáskörében eljárva</w:t>
      </w:r>
      <w:r>
        <w:t xml:space="preserve">, </w:t>
      </w:r>
      <w:r>
        <w:t>a Magyarország helyi önkormányzatairól szóló 2011. évi CLXXXIX. törvény 35. § (1) bekezdésé</w:t>
      </w:r>
      <w:r>
        <w:t>ben kapott felhatalmazás alapján Budapest Főváros VII. kerület Erzsébetváros Önkormányzatának Képviselő-testülete a helyi önkormányzati képviselők tiszteletdíjáról, természetbeni juttatásáról és költségtérítéséről az alábbiak szerint rendelkezik:</w:t>
      </w:r>
    </w:p>
    <w:p w:rsidR="00986CBE" w:rsidRDefault="00986CBE">
      <w:pPr>
        <w:pStyle w:val="Szvegtrzs"/>
        <w:spacing w:before="240" w:after="240" w:line="240" w:lineRule="auto"/>
        <w:jc w:val="center"/>
        <w:rPr>
          <w:b/>
          <w:bCs/>
        </w:rPr>
      </w:pPr>
    </w:p>
    <w:p w:rsidR="00DF703B" w:rsidRDefault="000B163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DF703B" w:rsidRDefault="000B1638">
      <w:pPr>
        <w:pStyle w:val="Szvegtrzs"/>
        <w:spacing w:after="0" w:line="240" w:lineRule="auto"/>
        <w:jc w:val="both"/>
      </w:pPr>
      <w:r>
        <w:t xml:space="preserve">(1) </w:t>
      </w:r>
      <w:r>
        <w:t>A helyi önkormányzati képviselők tiszteletdíjáról, természetbeni juttatásáról és költségtérítéséről szóló 20/2014. (X.28.) önkormányzati rendelet (a továbbiakban: Rendelet) 1. § (2) bekezdés a) és b) pontja helyébe a következő rendelkezések lépnek:</w:t>
      </w:r>
    </w:p>
    <w:p w:rsidR="00DF703B" w:rsidRDefault="000B1638" w:rsidP="00986CBE">
      <w:pPr>
        <w:pStyle w:val="Szvegtrzs"/>
        <w:spacing w:before="240" w:after="0" w:line="240" w:lineRule="auto"/>
        <w:ind w:left="567"/>
        <w:jc w:val="both"/>
        <w:rPr>
          <w:i/>
          <w:iCs/>
        </w:rPr>
      </w:pPr>
      <w:r>
        <w:rPr>
          <w:i/>
          <w:iCs/>
        </w:rPr>
        <w:t>(A képv</w:t>
      </w:r>
      <w:r>
        <w:rPr>
          <w:i/>
          <w:iCs/>
        </w:rPr>
        <w:t>iselőt, ha a Képviselő-testület bizottságának)</w:t>
      </w:r>
    </w:p>
    <w:p w:rsidR="00DF703B" w:rsidRDefault="000B1638" w:rsidP="00986CBE">
      <w:pPr>
        <w:pStyle w:val="Szvegtrzs"/>
        <w:spacing w:after="0" w:line="240" w:lineRule="auto"/>
        <w:ind w:left="567"/>
        <w:jc w:val="both"/>
      </w:pPr>
      <w:r>
        <w:t>„</w:t>
      </w:r>
      <w:r>
        <w:rPr>
          <w:i/>
          <w:iCs/>
        </w:rPr>
        <w:t>a)</w:t>
      </w:r>
      <w:r>
        <w:tab/>
        <w:t>tagja, az adott bizottsági tagságért a polgármesteri illetmény 20%-ának, és</w:t>
      </w:r>
    </w:p>
    <w:p w:rsidR="00DF703B" w:rsidRDefault="000B1638" w:rsidP="00986CBE">
      <w:pPr>
        <w:pStyle w:val="Szvegtrzs"/>
        <w:spacing w:after="0" w:line="240" w:lineRule="auto"/>
        <w:ind w:left="567" w:firstLine="142"/>
        <w:jc w:val="both"/>
      </w:pPr>
      <w:r>
        <w:rPr>
          <w:i/>
          <w:iCs/>
        </w:rPr>
        <w:t>b)</w:t>
      </w:r>
      <w:r>
        <w:tab/>
        <w:t>amennyiben elnöke is, úgy az</w:t>
      </w:r>
      <w:r>
        <w:rPr>
          <w:i/>
          <w:iCs/>
        </w:rPr>
        <w:t xml:space="preserve"> </w:t>
      </w:r>
      <w:r>
        <w:t>a) pontban meghatározottakon felül a polgármesteri illetmény további 20%-ának”</w:t>
      </w:r>
    </w:p>
    <w:p w:rsidR="00DF703B" w:rsidRDefault="000B1638" w:rsidP="00986CBE">
      <w:pPr>
        <w:pStyle w:val="Szvegtrzs"/>
        <w:spacing w:after="240" w:line="240" w:lineRule="auto"/>
        <w:ind w:left="567"/>
        <w:jc w:val="both"/>
        <w:rPr>
          <w:i/>
          <w:iCs/>
        </w:rPr>
      </w:pPr>
      <w:r>
        <w:rPr>
          <w:i/>
          <w:iCs/>
        </w:rPr>
        <w:t>(megfelelő összegű</w:t>
      </w:r>
      <w:r>
        <w:rPr>
          <w:i/>
          <w:iCs/>
        </w:rPr>
        <w:t xml:space="preserve"> kiegészítés illeti meg.)</w:t>
      </w:r>
    </w:p>
    <w:p w:rsidR="00DF703B" w:rsidRDefault="000B1638">
      <w:pPr>
        <w:pStyle w:val="Szvegtrzs"/>
        <w:spacing w:before="240" w:after="0" w:line="240" w:lineRule="auto"/>
        <w:jc w:val="both"/>
      </w:pPr>
      <w:r>
        <w:t>(2) A Rendelet 1. § (4) bekezdése helyébe a következő rendelkezés lép:</w:t>
      </w:r>
    </w:p>
    <w:p w:rsidR="00DF703B" w:rsidRDefault="000B1638" w:rsidP="00986CBE">
      <w:pPr>
        <w:pStyle w:val="Szvegtrzs"/>
        <w:spacing w:before="240" w:after="240" w:line="240" w:lineRule="auto"/>
        <w:ind w:left="567"/>
        <w:jc w:val="both"/>
      </w:pPr>
      <w:r>
        <w:t>„(4) A Képviselő-testület a bizottsága nem képviselő tagjának tiszteletdíját a polgármesteri illetmény 20%-ában állapítja meg.”</w:t>
      </w:r>
    </w:p>
    <w:p w:rsidR="00DF703B" w:rsidRDefault="000B1638">
      <w:pPr>
        <w:pStyle w:val="Szvegtrzs"/>
        <w:spacing w:before="240" w:after="0" w:line="240" w:lineRule="auto"/>
        <w:jc w:val="both"/>
      </w:pPr>
      <w:r>
        <w:t>(3) A Rendelet 1. §-a a követke</w:t>
      </w:r>
      <w:r>
        <w:t>ző (5) bekezdéssel egészül ki:</w:t>
      </w:r>
    </w:p>
    <w:p w:rsidR="00DF703B" w:rsidRDefault="000B1638" w:rsidP="00986CBE">
      <w:pPr>
        <w:pStyle w:val="Szvegtrzs"/>
        <w:spacing w:before="240" w:after="240" w:line="240" w:lineRule="auto"/>
        <w:ind w:left="567"/>
        <w:jc w:val="both"/>
      </w:pPr>
      <w:r>
        <w:t>„(5) A képviselői tevékenység összehangolására létrehozott képviselőcsoport (frakció) vezetőjét a polgármesteri illetmény 20%-ának megfelelő kiegészítés illeti meg. ”</w:t>
      </w:r>
    </w:p>
    <w:p w:rsidR="00986CBE" w:rsidRDefault="00986CBE">
      <w:pPr>
        <w:pStyle w:val="Szvegtrzs"/>
        <w:spacing w:before="240" w:after="240" w:line="240" w:lineRule="auto"/>
        <w:jc w:val="center"/>
        <w:rPr>
          <w:b/>
          <w:bCs/>
        </w:rPr>
      </w:pPr>
    </w:p>
    <w:p w:rsidR="00DF703B" w:rsidRDefault="000B163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DF703B" w:rsidRDefault="000B1638">
      <w:pPr>
        <w:pStyle w:val="Szvegtrzs"/>
        <w:spacing w:after="0" w:line="240" w:lineRule="auto"/>
        <w:jc w:val="both"/>
      </w:pPr>
      <w:r>
        <w:t>A Rendelet 2. § d) pontja helyébe a következő rendelk</w:t>
      </w:r>
      <w:r>
        <w:t>ezés lép:</w:t>
      </w:r>
    </w:p>
    <w:p w:rsidR="00DF703B" w:rsidRDefault="000B1638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 képviselőket az alábbi természetbeni juttatásban részesíti:)</w:t>
      </w:r>
    </w:p>
    <w:p w:rsidR="00DF703B" w:rsidRDefault="000B1638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d)</w:t>
      </w:r>
      <w:r>
        <w:tab/>
        <w:t>A</w:t>
      </w:r>
      <w:r>
        <w:rPr>
          <w:i/>
          <w:iCs/>
        </w:rPr>
        <w:t xml:space="preserve"> </w:t>
      </w:r>
      <w:r>
        <w:t xml:space="preserve">c) pontban felsorolt eszközök használatához internet-előfizetést, továbbá a mobiltelefon beszélgetés havi díjából maximum 40.000,- Ft megfizetését az </w:t>
      </w:r>
      <w:r>
        <w:t>Önkormányzat vállalja/biztosítja.”</w:t>
      </w:r>
    </w:p>
    <w:p w:rsidR="00986CBE" w:rsidRDefault="00986CBE">
      <w:pPr>
        <w:pStyle w:val="Szvegtrzs"/>
        <w:spacing w:before="240" w:after="240" w:line="240" w:lineRule="auto"/>
        <w:jc w:val="center"/>
        <w:rPr>
          <w:b/>
          <w:bCs/>
        </w:rPr>
      </w:pPr>
    </w:p>
    <w:p w:rsidR="00986CBE" w:rsidRDefault="00986CBE">
      <w:pPr>
        <w:pStyle w:val="Szvegtrzs"/>
        <w:spacing w:before="240" w:after="240" w:line="240" w:lineRule="auto"/>
        <w:jc w:val="center"/>
        <w:rPr>
          <w:b/>
          <w:bCs/>
        </w:rPr>
      </w:pPr>
    </w:p>
    <w:p w:rsidR="00DF703B" w:rsidRDefault="000B163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DF703B" w:rsidRDefault="000B1638">
      <w:pPr>
        <w:pStyle w:val="Szvegtrzs"/>
        <w:spacing w:after="0" w:line="240" w:lineRule="auto"/>
        <w:jc w:val="both"/>
      </w:pPr>
      <w:r>
        <w:t>A Rendelet 2/A. §-a helyébe a következő rendelkezés lép:</w:t>
      </w:r>
    </w:p>
    <w:p w:rsidR="00DF703B" w:rsidRDefault="000B163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„2/A. §</w:t>
      </w:r>
    </w:p>
    <w:p w:rsidR="00DF703B" w:rsidRDefault="000B1638">
      <w:pPr>
        <w:pStyle w:val="Szvegtrzs"/>
        <w:spacing w:after="240" w:line="240" w:lineRule="auto"/>
        <w:jc w:val="both"/>
      </w:pPr>
      <w:r>
        <w:lastRenderedPageBreak/>
        <w:t>A Képviselő-testület a bizottság nem képviselő tagja részére, a bizottsági munka elősegítése érdekében, a bizottsági tag saját tulajdonában lévő mobilt</w:t>
      </w:r>
      <w:r>
        <w:t>elefon használatáért természetbeni juttatást állapít meg. Természetbeni juttatásként a mobiltelefon beszélgetés havi díjából maximum 20.000,- Ft megfizetését az Önkormányzat biztosítja. ”</w:t>
      </w:r>
    </w:p>
    <w:p w:rsidR="00986CBE" w:rsidRDefault="00986CBE">
      <w:pPr>
        <w:pStyle w:val="Szvegtrzs"/>
        <w:spacing w:before="240" w:after="240" w:line="240" w:lineRule="auto"/>
        <w:jc w:val="center"/>
        <w:rPr>
          <w:b/>
          <w:bCs/>
        </w:rPr>
      </w:pPr>
    </w:p>
    <w:p w:rsidR="00DF703B" w:rsidRDefault="000B163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DF703B" w:rsidRDefault="000B1638" w:rsidP="00986CBE">
      <w:pPr>
        <w:pStyle w:val="Szvegtrzs"/>
        <w:spacing w:after="0" w:line="240" w:lineRule="auto"/>
        <w:jc w:val="both"/>
      </w:pPr>
      <w:r>
        <w:t>Ez a rendelet a kihirdetését követő napon lép hatályba, és a kihirdetését követő második napon hatályát veszti.</w:t>
      </w:r>
    </w:p>
    <w:p w:rsidR="00986CBE" w:rsidRDefault="00986CBE" w:rsidP="00986CBE">
      <w:pPr>
        <w:pStyle w:val="Szvegtrzs"/>
        <w:spacing w:after="159" w:line="240" w:lineRule="auto"/>
        <w:ind w:right="159"/>
      </w:pPr>
    </w:p>
    <w:p w:rsidR="00986CBE" w:rsidRDefault="00986CBE" w:rsidP="00986CBE">
      <w:pPr>
        <w:pStyle w:val="Szvegtrzs"/>
        <w:spacing w:after="159" w:line="240" w:lineRule="auto"/>
        <w:ind w:right="159"/>
      </w:pPr>
    </w:p>
    <w:p w:rsidR="00986CBE" w:rsidRDefault="00986CBE" w:rsidP="00986CBE">
      <w:pPr>
        <w:pStyle w:val="Szvegtrzs"/>
        <w:spacing w:after="159" w:line="240" w:lineRule="auto"/>
        <w:ind w:right="159"/>
      </w:pPr>
    </w:p>
    <w:p w:rsidR="00986CBE" w:rsidRPr="00A401AB" w:rsidRDefault="00986CBE" w:rsidP="00986CBE">
      <w:pPr>
        <w:autoSpaceDE w:val="0"/>
        <w:autoSpaceDN w:val="0"/>
        <w:adjustRightInd w:val="0"/>
        <w:spacing w:line="312" w:lineRule="auto"/>
        <w:ind w:left="708" w:right="26"/>
        <w:rPr>
          <w:bCs/>
        </w:rPr>
      </w:pPr>
      <w:r w:rsidRPr="00A401AB">
        <w:rPr>
          <w:bCs/>
        </w:rPr>
        <w:t>……………………………..</w:t>
      </w:r>
      <w:r w:rsidRPr="00A401AB">
        <w:rPr>
          <w:bCs/>
        </w:rPr>
        <w:tab/>
      </w:r>
      <w:r w:rsidRPr="00A401AB">
        <w:rPr>
          <w:bCs/>
        </w:rPr>
        <w:tab/>
      </w:r>
      <w:r w:rsidRPr="00A401AB">
        <w:rPr>
          <w:bCs/>
        </w:rPr>
        <w:tab/>
      </w:r>
      <w:r w:rsidRPr="00A401AB">
        <w:rPr>
          <w:bCs/>
        </w:rPr>
        <w:tab/>
        <w:t>…………………………….</w:t>
      </w:r>
    </w:p>
    <w:p w:rsidR="00986CBE" w:rsidRPr="00A401AB" w:rsidRDefault="00986CBE" w:rsidP="00986CBE">
      <w:pPr>
        <w:autoSpaceDE w:val="0"/>
        <w:autoSpaceDN w:val="0"/>
        <w:adjustRightInd w:val="0"/>
        <w:spacing w:line="312" w:lineRule="auto"/>
        <w:ind w:left="708" w:right="26" w:firstLine="708"/>
        <w:rPr>
          <w:rStyle w:val="Kiemels2"/>
          <w:b w:val="0"/>
          <w:bdr w:val="none" w:sz="0" w:space="0" w:color="auto" w:frame="1"/>
          <w:shd w:val="clear" w:color="auto" w:fill="FFFFFF"/>
        </w:rPr>
      </w:pPr>
      <w:r w:rsidRPr="00A401AB">
        <w:rPr>
          <w:bCs/>
        </w:rPr>
        <w:t xml:space="preserve">     </w:t>
      </w:r>
      <w:r>
        <w:rPr>
          <w:bCs/>
        </w:rPr>
        <w:t xml:space="preserve">Tóth János </w:t>
      </w:r>
      <w:r w:rsidRPr="00A401AB">
        <w:rPr>
          <w:bCs/>
        </w:rPr>
        <w:tab/>
      </w:r>
      <w:r w:rsidRPr="00A401AB">
        <w:rPr>
          <w:bCs/>
        </w:rPr>
        <w:tab/>
      </w:r>
      <w:r w:rsidRPr="00A401AB">
        <w:rPr>
          <w:bCs/>
        </w:rPr>
        <w:tab/>
      </w:r>
      <w:r>
        <w:rPr>
          <w:bCs/>
        </w:rPr>
        <w:tab/>
      </w:r>
      <w:r w:rsidRPr="00A401AB">
        <w:rPr>
          <w:bCs/>
        </w:rPr>
        <w:tab/>
        <w:t xml:space="preserve">  </w:t>
      </w:r>
      <w:r>
        <w:rPr>
          <w:bCs/>
        </w:rPr>
        <w:t xml:space="preserve">       Niedermüller Péter </w:t>
      </w:r>
    </w:p>
    <w:p w:rsidR="00986CBE" w:rsidRPr="00A401AB" w:rsidRDefault="00986CBE" w:rsidP="00986CBE">
      <w:pPr>
        <w:autoSpaceDE w:val="0"/>
        <w:autoSpaceDN w:val="0"/>
        <w:adjustRightInd w:val="0"/>
        <w:spacing w:line="312" w:lineRule="auto"/>
        <w:ind w:left="708" w:right="26" w:firstLine="708"/>
        <w:rPr>
          <w:bCs/>
        </w:rPr>
      </w:pPr>
      <w:r w:rsidRPr="00A401AB">
        <w:rPr>
          <w:bCs/>
        </w:rPr>
        <w:t xml:space="preserve">          </w:t>
      </w:r>
      <w:r>
        <w:rPr>
          <w:bCs/>
        </w:rPr>
        <w:t xml:space="preserve">jegyző </w:t>
      </w:r>
      <w:r w:rsidRPr="00A401AB">
        <w:rPr>
          <w:bCs/>
        </w:rPr>
        <w:tab/>
      </w:r>
      <w:r w:rsidRPr="00A401AB">
        <w:rPr>
          <w:bCs/>
        </w:rPr>
        <w:tab/>
      </w:r>
      <w:r w:rsidRPr="00A401AB">
        <w:rPr>
          <w:bCs/>
        </w:rPr>
        <w:tab/>
      </w:r>
      <w:r w:rsidRPr="00A401AB">
        <w:rPr>
          <w:bCs/>
        </w:rPr>
        <w:tab/>
      </w:r>
      <w:r w:rsidRPr="00A401AB">
        <w:rPr>
          <w:bCs/>
        </w:rPr>
        <w:tab/>
      </w:r>
      <w:r w:rsidRPr="00A401AB">
        <w:rPr>
          <w:bCs/>
        </w:rPr>
        <w:tab/>
      </w:r>
      <w:r>
        <w:rPr>
          <w:bCs/>
        </w:rPr>
        <w:t xml:space="preserve">polgármester </w:t>
      </w:r>
      <w:r w:rsidRPr="00A401AB">
        <w:rPr>
          <w:bCs/>
        </w:rPr>
        <w:t xml:space="preserve"> </w:t>
      </w:r>
    </w:p>
    <w:p w:rsidR="00986CBE" w:rsidRDefault="00986CBE" w:rsidP="00986CBE">
      <w:pPr>
        <w:autoSpaceDE w:val="0"/>
        <w:autoSpaceDN w:val="0"/>
        <w:adjustRightInd w:val="0"/>
        <w:spacing w:line="312" w:lineRule="auto"/>
        <w:ind w:right="26"/>
        <w:rPr>
          <w:bCs/>
        </w:rPr>
      </w:pPr>
    </w:p>
    <w:p w:rsidR="00986CBE" w:rsidRPr="00A401AB" w:rsidRDefault="00986CBE" w:rsidP="00986CBE">
      <w:pPr>
        <w:autoSpaceDE w:val="0"/>
        <w:autoSpaceDN w:val="0"/>
        <w:adjustRightInd w:val="0"/>
        <w:spacing w:line="312" w:lineRule="auto"/>
        <w:ind w:right="26"/>
        <w:rPr>
          <w:bCs/>
        </w:rPr>
      </w:pPr>
    </w:p>
    <w:p w:rsidR="00986CBE" w:rsidRPr="00A401AB" w:rsidRDefault="00986CBE" w:rsidP="00986CBE">
      <w:pPr>
        <w:autoSpaceDE w:val="0"/>
        <w:autoSpaceDN w:val="0"/>
        <w:adjustRightInd w:val="0"/>
        <w:spacing w:line="312" w:lineRule="auto"/>
        <w:ind w:right="26"/>
        <w:rPr>
          <w:bCs/>
        </w:rPr>
      </w:pPr>
    </w:p>
    <w:p w:rsidR="00986CBE" w:rsidRPr="00FC5BFB" w:rsidRDefault="00986CBE" w:rsidP="00986CBE">
      <w:pPr>
        <w:autoSpaceDE w:val="0"/>
        <w:autoSpaceDN w:val="0"/>
        <w:adjustRightInd w:val="0"/>
        <w:spacing w:line="312" w:lineRule="auto"/>
        <w:ind w:right="26"/>
        <w:jc w:val="center"/>
        <w:rPr>
          <w:b/>
          <w:bCs/>
        </w:rPr>
      </w:pPr>
      <w:r w:rsidRPr="00FC5BFB">
        <w:rPr>
          <w:b/>
          <w:bCs/>
        </w:rPr>
        <w:t>Záradék:</w:t>
      </w:r>
    </w:p>
    <w:p w:rsidR="00986CBE" w:rsidRPr="00554425" w:rsidRDefault="00986CBE" w:rsidP="00986CBE">
      <w:pPr>
        <w:autoSpaceDE w:val="0"/>
        <w:autoSpaceDN w:val="0"/>
        <w:adjustRightInd w:val="0"/>
        <w:spacing w:line="312" w:lineRule="auto"/>
        <w:ind w:right="26"/>
        <w:rPr>
          <w:bCs/>
        </w:rPr>
      </w:pPr>
    </w:p>
    <w:p w:rsidR="00986CBE" w:rsidRPr="00AA0E23" w:rsidRDefault="00986CBE" w:rsidP="00986CBE">
      <w:pPr>
        <w:spacing w:after="160" w:line="259" w:lineRule="auto"/>
        <w:jc w:val="both"/>
      </w:pPr>
      <w:r w:rsidRPr="00AA0E23">
        <w:t>A rendelet kihirdetése 2024. …</w:t>
      </w:r>
      <w:r>
        <w:t>……</w:t>
      </w:r>
      <w:r w:rsidRPr="00AA0E23">
        <w:t>.. napján a Szervezeti és Működési Szabályzat szerint a Polgármesteri Hivatal hirdetőtábláján megtörtént.</w:t>
      </w:r>
    </w:p>
    <w:p w:rsidR="00986CBE" w:rsidRPr="00AA0E23" w:rsidRDefault="00986CBE" w:rsidP="00986CBE">
      <w:pPr>
        <w:spacing w:after="160" w:line="259" w:lineRule="auto"/>
        <w:jc w:val="both"/>
      </w:pPr>
      <w:r w:rsidRPr="00AA0E23">
        <w:t>A rendelet közzététel céljából megküldésre került a www.erzsebetvaros.hu honlap szerkesztője részére.</w:t>
      </w:r>
    </w:p>
    <w:p w:rsidR="00986CBE" w:rsidRDefault="00986CBE" w:rsidP="00986CBE">
      <w:pPr>
        <w:spacing w:line="312" w:lineRule="auto"/>
        <w:ind w:right="26"/>
        <w:rPr>
          <w:bCs/>
        </w:rPr>
      </w:pPr>
    </w:p>
    <w:p w:rsidR="00986CBE" w:rsidRPr="00F04CFE" w:rsidRDefault="00986CBE" w:rsidP="00986CBE">
      <w:pPr>
        <w:spacing w:line="312" w:lineRule="auto"/>
        <w:ind w:right="26"/>
        <w:rPr>
          <w:bCs/>
        </w:rPr>
      </w:pPr>
    </w:p>
    <w:p w:rsidR="00986CBE" w:rsidRPr="00F04CFE" w:rsidRDefault="00986CBE" w:rsidP="00986CBE">
      <w:pPr>
        <w:spacing w:line="312" w:lineRule="auto"/>
        <w:ind w:left="1416" w:right="26" w:hanging="423"/>
        <w:rPr>
          <w:bCs/>
        </w:rPr>
      </w:pPr>
      <w:r w:rsidRPr="00F04CFE">
        <w:rPr>
          <w:bCs/>
        </w:rPr>
        <w:t>…………………………………</w:t>
      </w:r>
    </w:p>
    <w:p w:rsidR="00986CBE" w:rsidRPr="00F04CFE" w:rsidRDefault="00986CBE" w:rsidP="00986CBE">
      <w:pPr>
        <w:autoSpaceDE w:val="0"/>
        <w:autoSpaceDN w:val="0"/>
        <w:adjustRightInd w:val="0"/>
        <w:spacing w:line="312" w:lineRule="auto"/>
        <w:ind w:left="708" w:right="26" w:firstLine="708"/>
        <w:rPr>
          <w:rStyle w:val="Kiemels2"/>
          <w:b w:val="0"/>
          <w:bdr w:val="none" w:sz="0" w:space="0" w:color="auto" w:frame="1"/>
          <w:shd w:val="clear" w:color="auto" w:fill="FFFFFF"/>
        </w:rPr>
      </w:pPr>
      <w:r w:rsidRPr="00F04CFE">
        <w:rPr>
          <w:bCs/>
        </w:rPr>
        <w:t xml:space="preserve">      </w:t>
      </w:r>
      <w:r>
        <w:rPr>
          <w:bCs/>
        </w:rPr>
        <w:t xml:space="preserve">Tóth János </w:t>
      </w:r>
    </w:p>
    <w:p w:rsidR="00986CBE" w:rsidRPr="00F04CFE" w:rsidRDefault="00986CBE" w:rsidP="00986CBE">
      <w:pPr>
        <w:spacing w:line="312" w:lineRule="auto"/>
        <w:ind w:left="1416" w:right="26" w:firstLine="708"/>
        <w:rPr>
          <w:bCs/>
        </w:rPr>
      </w:pPr>
      <w:r w:rsidRPr="00F04CFE">
        <w:rPr>
          <w:bCs/>
        </w:rPr>
        <w:t>jegyző</w:t>
      </w:r>
    </w:p>
    <w:p w:rsidR="00986CBE" w:rsidRDefault="00986CBE" w:rsidP="00986CBE">
      <w:pPr>
        <w:pStyle w:val="Szvegtrzs"/>
        <w:spacing w:after="159" w:line="240" w:lineRule="auto"/>
        <w:ind w:right="159"/>
      </w:pPr>
    </w:p>
    <w:p w:rsidR="00986CBE" w:rsidRDefault="00986CBE" w:rsidP="00986CBE">
      <w:pPr>
        <w:pStyle w:val="Szvegtrzs"/>
        <w:spacing w:after="159" w:line="240" w:lineRule="auto"/>
        <w:ind w:right="159"/>
      </w:pPr>
    </w:p>
    <w:p w:rsidR="00986CBE" w:rsidRDefault="00986CBE" w:rsidP="00986CBE">
      <w:pPr>
        <w:pStyle w:val="Szvegtrzs"/>
        <w:spacing w:after="159" w:line="240" w:lineRule="auto"/>
        <w:ind w:right="159"/>
      </w:pPr>
    </w:p>
    <w:p w:rsidR="00986CBE" w:rsidRDefault="00986CBE" w:rsidP="00986CBE">
      <w:pPr>
        <w:pStyle w:val="Szvegtrzs"/>
        <w:spacing w:after="159" w:line="240" w:lineRule="auto"/>
        <w:ind w:right="159"/>
      </w:pPr>
    </w:p>
    <w:p w:rsidR="00986CBE" w:rsidRDefault="00986CBE" w:rsidP="00986CBE">
      <w:pPr>
        <w:pStyle w:val="Szvegtrzs"/>
        <w:spacing w:after="159" w:line="240" w:lineRule="auto"/>
        <w:ind w:right="159"/>
      </w:pPr>
    </w:p>
    <w:p w:rsidR="00DF703B" w:rsidRPr="00986CBE" w:rsidRDefault="00986CBE">
      <w:pPr>
        <w:pStyle w:val="Szvegtrzs"/>
        <w:spacing w:after="159" w:line="240" w:lineRule="auto"/>
        <w:ind w:left="159" w:right="159"/>
        <w:jc w:val="center"/>
        <w:rPr>
          <w:b/>
        </w:rPr>
      </w:pPr>
      <w:r w:rsidRPr="00986CBE">
        <w:rPr>
          <w:b/>
        </w:rPr>
        <w:t xml:space="preserve">Általános indokolás </w:t>
      </w:r>
    </w:p>
    <w:p w:rsidR="00986CBE" w:rsidRDefault="00986CBE">
      <w:pPr>
        <w:pStyle w:val="Szvegtrzs"/>
        <w:spacing w:before="159" w:after="159" w:line="240" w:lineRule="auto"/>
        <w:ind w:left="159" w:right="159"/>
        <w:jc w:val="both"/>
      </w:pPr>
    </w:p>
    <w:p w:rsidR="00DF703B" w:rsidRDefault="000B1638">
      <w:pPr>
        <w:pStyle w:val="Szvegtrzs"/>
        <w:spacing w:before="159" w:after="159" w:line="240" w:lineRule="auto"/>
        <w:ind w:left="159" w:right="159"/>
        <w:jc w:val="both"/>
      </w:pPr>
      <w:r>
        <w:t>A képviselők, bizottsági elnökök és tagok, valamint a tanácsnokok részére</w:t>
      </w:r>
      <w:r>
        <w:t xml:space="preserve"> megállapított tiszteletdíj, természetbeni juttatás, költségtérítés mértéke 2019. óta nem változott. A gazdasági helyzet függvényében szükségessé vált ennek felülvizsgálata. </w:t>
      </w:r>
    </w:p>
    <w:p w:rsidR="00986CBE" w:rsidRDefault="00986CBE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</w:p>
    <w:p w:rsidR="00986CBE" w:rsidRDefault="00986CBE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bookmarkStart w:id="0" w:name="_GoBack"/>
      <w:bookmarkEnd w:id="0"/>
    </w:p>
    <w:p w:rsidR="00DF703B" w:rsidRDefault="000B1638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Részletes indokolás </w:t>
      </w:r>
    </w:p>
    <w:p w:rsidR="00DF703B" w:rsidRDefault="000B1638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1.§</w:t>
      </w:r>
    </w:p>
    <w:p w:rsidR="00DF703B" w:rsidRDefault="000B1638">
      <w:pPr>
        <w:pStyle w:val="Szvegtrzs"/>
        <w:spacing w:before="159" w:after="159" w:line="240" w:lineRule="auto"/>
        <w:ind w:left="159" w:right="159"/>
        <w:jc w:val="both"/>
      </w:pPr>
      <w:r>
        <w:t>A bizottság tagja, elnöke, valamint a bizottság nem képv</w:t>
      </w:r>
      <w:r>
        <w:t>iselő tagja illetményének emeléséről rendelkezik. Új rendelkezésként beépítésre kerül a képviselőcsoportok vezetőit megillető kiegészítés. </w:t>
      </w:r>
    </w:p>
    <w:p w:rsidR="00DF703B" w:rsidRDefault="000B1638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2.§ </w:t>
      </w:r>
    </w:p>
    <w:p w:rsidR="00DF703B" w:rsidRDefault="000B1638">
      <w:pPr>
        <w:pStyle w:val="Szvegtrzs"/>
        <w:spacing w:before="159" w:after="159" w:line="240" w:lineRule="auto"/>
        <w:ind w:left="159" w:right="159"/>
        <w:jc w:val="both"/>
      </w:pPr>
      <w:r>
        <w:t>A képviselőket természetbeni juttatásként megillető telefonszámla-hozzájárulás mértékének emeléséről rendelkezi</w:t>
      </w:r>
      <w:r>
        <w:t>k. </w:t>
      </w:r>
    </w:p>
    <w:p w:rsidR="00DF703B" w:rsidRDefault="000B1638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3.§</w:t>
      </w:r>
    </w:p>
    <w:p w:rsidR="00DF703B" w:rsidRDefault="000B1638">
      <w:pPr>
        <w:pStyle w:val="Szvegtrzs"/>
        <w:spacing w:before="159" w:after="159" w:line="240" w:lineRule="auto"/>
        <w:ind w:left="159" w:right="159"/>
        <w:jc w:val="both"/>
      </w:pPr>
      <w:r>
        <w:t>A bizottság nem képviselő tagját megillető természetbeni juttatásról szól. </w:t>
      </w:r>
    </w:p>
    <w:p w:rsidR="00DF703B" w:rsidRDefault="000B1638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4.§</w:t>
      </w:r>
    </w:p>
    <w:p w:rsidR="00DF703B" w:rsidRDefault="000B1638">
      <w:pPr>
        <w:pStyle w:val="Szvegtrzs"/>
        <w:spacing w:before="159" w:after="159" w:line="240" w:lineRule="auto"/>
        <w:ind w:left="159" w:right="159"/>
        <w:jc w:val="both"/>
      </w:pPr>
      <w:r>
        <w:t>Hatályba léptető és hatályon kívül helyező rendelkezést tartalmaz. </w:t>
      </w:r>
    </w:p>
    <w:sectPr w:rsidR="00DF703B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B1638">
      <w:r>
        <w:separator/>
      </w:r>
    </w:p>
  </w:endnote>
  <w:endnote w:type="continuationSeparator" w:id="0">
    <w:p w:rsidR="00000000" w:rsidRDefault="000B1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03B" w:rsidRDefault="000B163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B1638">
      <w:r>
        <w:separator/>
      </w:r>
    </w:p>
  </w:footnote>
  <w:footnote w:type="continuationSeparator" w:id="0">
    <w:p w:rsidR="00000000" w:rsidRDefault="000B16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0FF2"/>
    <w:multiLevelType w:val="multilevel"/>
    <w:tmpl w:val="EBB0818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03B"/>
    <w:rsid w:val="000B1638"/>
    <w:rsid w:val="00986CBE"/>
    <w:rsid w:val="00DF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31B21"/>
  <w15:docId w15:val="{DA8BF905-4413-4D62-983F-647AECDE3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fej">
    <w:name w:val="header"/>
    <w:basedOn w:val="Norml"/>
    <w:link w:val="lfejChar"/>
    <w:uiPriority w:val="99"/>
    <w:unhideWhenUsed/>
    <w:rsid w:val="00986CB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986CBE"/>
    <w:rPr>
      <w:rFonts w:ascii="Times New Roman" w:hAnsi="Times New Roman" w:cs="Mangal"/>
      <w:szCs w:val="21"/>
      <w:lang w:val="hu-HU"/>
    </w:rPr>
  </w:style>
  <w:style w:type="character" w:styleId="Kiemels2">
    <w:name w:val="Strong"/>
    <w:basedOn w:val="Bekezdsalapbettpusa"/>
    <w:uiPriority w:val="22"/>
    <w:qFormat/>
    <w:rsid w:val="00986C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483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Szalontainé Lázár Krisztina</dc:creator>
  <dc:description/>
  <cp:lastModifiedBy>Szalontainé Lázár Krisztina</cp:lastModifiedBy>
  <cp:revision>2</cp:revision>
  <dcterms:created xsi:type="dcterms:W3CDTF">2024-10-01T09:24:00Z</dcterms:created>
  <dcterms:modified xsi:type="dcterms:W3CDTF">2024-10-01T09:24:00Z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